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rPr>
          <w:color w:val="000000" w:themeColor="text1"/>
        </w:rPr>
      </w:pPr>
      <w:r>
        <w:rPr>
          <w:color w:val="000000" w:themeColor="text1"/>
        </w:rPr>
        <w:t xml:space="preserve">Зарегистрировано в Минюсте России 24 мая 2018 г. N 51179</w:t>
      </w:r>
      <w:r>
        <w:rPr>
          <w:color w:val="000000" w:themeColor="text1"/>
        </w:rPr>
      </w:r>
    </w:p>
    <w:p>
      <w:pPr>
        <w:pStyle w:val="372"/>
        <w:jc w:val="both"/>
        <w:spacing w:after="100" w:before="10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от 6 апреля 2018 г. N 482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О ПРИЗНАНИИ </w:t>
      </w:r>
      <w:r>
        <w:rPr>
          <w:color w:val="000000" w:themeColor="text1"/>
        </w:rPr>
        <w:t xml:space="preserve">УТРАТИВШИМИ</w:t>
      </w:r>
      <w:r>
        <w:rPr>
          <w:color w:val="000000" w:themeColor="text1"/>
        </w:rPr>
        <w:t xml:space="preserve"> СИЛУ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ПРИКАЗОВ ФТС РОССИИ ОТ 9 ФЕВРАЛЯ 2015 Г. N 205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"О КОМПЕТЕНЦИИ ТАМОЖЕННЫХ ОРГАНОВ ПО СОВЕРШЕНИЮ ТАМОЖЕННЫХ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ОПЕРАЦИЙ В ОТНОШЕНИИ ПОДАКЦИЗНЫХ И ДРУГИХ ОПРЕДЕЛЕННЫХ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ВИДОВ ТОВАРОВ" И ОТ 2 НОЯБРЯ 2015 Г. N 2202 "О ВНЕСЕНИИ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ИЗМЕНЕНИЙ В ПРИКАЗ ФТС РОССИИ ОТ 9 ФЕВРАЛЯ 2015 Г. N 205"</w:t>
      </w:r>
      <w:r>
        <w:rPr>
          <w:color w:val="000000" w:themeColor="text1"/>
        </w:rPr>
      </w:r>
    </w:p>
    <w:p>
      <w:pPr>
        <w:pStyle w:val="372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before="220"/>
        <w:rPr>
          <w:color w:val="000000" w:themeColor="text1"/>
        </w:rPr>
      </w:pPr>
      <w:r>
        <w:rPr>
          <w:color w:val="000000" w:themeColor="text1"/>
        </w:rPr>
        <w:t xml:space="preserve">Признать утратившими силу: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before="220"/>
        <w:rPr>
          <w:color w:val="000000" w:themeColor="text1"/>
        </w:rPr>
      </w:pPr>
      <w:r>
        <w:rPr>
          <w:color w:val="000000" w:themeColor="text1"/>
        </w:rPr>
        <w:t xml:space="preserve">1) </w:t>
      </w:r>
      <w:hyperlink r:id="rId7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9 февраля 2015 г. N 205 "О компетенции таможенных органов по совершению таможенных операций в отношении подакцизных и других определенных видов товаров" (зарегистрирован Минюстом России 17.03.2015, регистрационный N 36464);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before="220"/>
        <w:rPr>
          <w:color w:val="000000" w:themeColor="text1"/>
        </w:rPr>
      </w:pPr>
      <w:r>
        <w:rPr>
          <w:color w:val="000000" w:themeColor="text1"/>
        </w:rPr>
        <w:t xml:space="preserve">2) </w:t>
      </w:r>
      <w:hyperlink r:id="rId8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2 ноября 2015 г. N 2202 "О внесении изменений в приказ ФТС России от 9 февраля 2015 г. N 205" (зарегистрирован Минюстом России 02.12.2015, регистрационный N 39920).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before="22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100" w:before="10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FD33AA8C5611180459E2B0DB21B49A1C66EDC4668F37F0F6FC25338640525E9EBB558649E53192B39ABF530F19hD01M" TargetMode="External"/><Relationship Id="rId8" Type="http://schemas.openxmlformats.org/officeDocument/2006/relationships/hyperlink" Target="consultantplus://offline/ref=FD33AA8C5611180459E2B0DB21B49A1C66EDC4668135F0F6FC25338640525E9EBB558649E53192B39ABF530F19hD01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2020-12-08T12:52:00Z</dcterms:created>
  <dcterms:modified xsi:type="dcterms:W3CDTF">2020-12-10T09:30:02Z</dcterms:modified>
</cp:coreProperties>
</file>