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18 января 2019 г. N 53434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21 ноября 2018 г. N 1884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ОПРЕДЕЛЕНИИ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ПЕРЕЧНЯ МЕСТ ПЕРЕМЕЩЕНИЯ ТОВАРОВ ЧЕРЕЗ ТАМОЖЕННУЮ ГРАНИЦУ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ЕВРАЗИЙСКОГО ЭКОНОМИЧЕСКОГО СОЮЗА, В </w:t>
      </w:r>
      <w:r>
        <w:rPr>
          <w:color w:val="000000" w:themeColor="text1"/>
        </w:rPr>
        <w:t xml:space="preserve">КОТОРЫХ</w:t>
      </w:r>
      <w:r>
        <w:rPr>
          <w:color w:val="000000" w:themeColor="text1"/>
        </w:rPr>
        <w:t xml:space="preserve"> ПРИМЕНЯЕТСЯ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СИСТЕМА ДВОЙНОГО КОРИДОРА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основании </w:t>
      </w:r>
      <w:hyperlink r:id="rId7" w:history="1">
        <w:r>
          <w:rPr>
            <w:color w:val="000000" w:themeColor="text1"/>
          </w:rPr>
          <w:t xml:space="preserve">части 2 статьи 189</w:t>
        </w:r>
      </w:hyperlink>
      <w:r>
        <w:rPr>
          <w:color w:val="000000" w:themeColor="text1"/>
        </w:rPr>
        <w:t xml:space="preserve"> Федерального</w:t>
      </w:r>
      <w:r>
        <w:rPr>
          <w:color w:val="000000" w:themeColor="text1"/>
        </w:rPr>
        <w:t xml:space="preserve"> закона от 3 августа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 и </w:t>
      </w:r>
      <w:hyperlink r:id="rId8" w:history="1">
        <w:r>
          <w:rPr>
            <w:color w:val="000000" w:themeColor="text1"/>
          </w:rPr>
          <w:t xml:space="preserve">пункта 1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 Российской Федерации от 16 сентября</w:t>
      </w:r>
      <w:r>
        <w:rPr>
          <w:color w:val="000000" w:themeColor="text1"/>
        </w:rPr>
        <w:t xml:space="preserve"> 2013 г. N 809 (Собрание законодательства Российской Федерации, 2013, N 38, ст. 4823, N 45, ст. 5822; 2014, N 37, ст. 4971; 2015, N 2, ст. 491, N 47, ст. 6586; 2016, N 17, ст. 2399, N 28, ст. 4741;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Определить </w:t>
      </w:r>
      <w:hyperlink w:tooltip="Current Document" w:anchor="P33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 мест перемещения товаров через таможенную границу Евразийского экономического союза, в которых применяется система двойного коридора, согласно приложению к настоящему приказу.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</w:t>
      </w:r>
      <w:r>
        <w:rPr>
          <w:color w:val="000000" w:themeColor="text1"/>
        </w:rPr>
        <w:t xml:space="preserve">Признать утратившими силу приказы ФТС России от 26 марта 2013 г. </w:t>
      </w:r>
      <w:hyperlink r:id="rId9" w:history="1">
        <w:r>
          <w:rPr>
            <w:color w:val="000000" w:themeColor="text1"/>
          </w:rPr>
          <w:t xml:space="preserve">N 579</w:t>
        </w:r>
      </w:hyperlink>
      <w:r>
        <w:rPr>
          <w:color w:val="000000" w:themeColor="text1"/>
        </w:rPr>
        <w:t xml:space="preserve"> "Об определении перечня мест при</w:t>
      </w:r>
      <w:r>
        <w:rPr>
          <w:color w:val="000000" w:themeColor="text1"/>
        </w:rPr>
        <w:t xml:space="preserve">бытия на таможенную территорию Таможенного союза или убытия с этой территории, в которых применяется система двойного коридора, а также порядка его формирования" (зарегистрирован Минюстом России 28.05.2013, регистрационный N 28551) и от 11 февраля 2015 г. </w:t>
      </w:r>
      <w:hyperlink r:id="rId10" w:history="1">
        <w:r>
          <w:rPr>
            <w:color w:val="000000" w:themeColor="text1"/>
          </w:rPr>
          <w:t xml:space="preserve">N 231</w:t>
        </w:r>
      </w:hyperlink>
      <w:r>
        <w:rPr>
          <w:color w:val="000000" w:themeColor="text1"/>
        </w:rPr>
        <w:t xml:space="preserve"> "О внесении изменений в перечень мест</w:t>
      </w:r>
      <w:r>
        <w:rPr>
          <w:color w:val="000000" w:themeColor="text1"/>
        </w:rPr>
        <w:t xml:space="preserve"> прибы</w:t>
      </w:r>
      <w:r>
        <w:rPr>
          <w:color w:val="000000" w:themeColor="text1"/>
        </w:rPr>
        <w:t xml:space="preserve">тия на таможенную территорию Таможенного союза или убытия с этой территории, в которых применяется система двойного коридора, определенный приказом ФТС России от 26 марта 2013 г. N 579" (зарегистрирован Минюстом России 25.03.2015, регистрационный N 36560).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первого заместителя руководителя ФТС России Р.В. Давыдова.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21 ноября 2018 г. N 1884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0" w:name="P33"/>
      <w:r>
        <w:rPr>
          <w:color w:val="000000" w:themeColor="text1"/>
        </w:rPr>
      </w:r>
      <w:bookmarkEnd w:id="0"/>
      <w:r>
        <w:rPr>
          <w:color w:val="000000" w:themeColor="text1"/>
        </w:rPr>
        <w:t xml:space="preserve">ПЕРЕЧЕНЬ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МЕСТ ПЕРЕМЕЩЕНИЯ ТОВАРОВ ЧЕРЕЗ ТАМОЖЕННУЮ ГРАНИЦУ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ЕВРАЗИЙСКОГО ЭКОНОМИЧЕСКОГО СОЮЗА, В </w:t>
      </w:r>
      <w:r>
        <w:rPr>
          <w:color w:val="000000" w:themeColor="text1"/>
        </w:rPr>
        <w:t xml:space="preserve">КОТОРЫХ</w:t>
      </w:r>
      <w:r>
        <w:rPr>
          <w:color w:val="000000" w:themeColor="text1"/>
        </w:rPr>
        <w:t xml:space="preserve"> ПРИМЕНЯЕТСЯ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СИСТЕМА ДВОЙНОГО КОРИДОРА</w:t>
      </w:r>
      <w:bookmarkStart w:id="1" w:name="_GoBack"/>
      <w:r>
        <w:rPr>
          <w:color w:val="000000" w:themeColor="text1"/>
        </w:rPr>
      </w:r>
      <w:bookmarkEnd w:id="1"/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  <w:sectPr>
          <w:footnotePr/>
          <w:type w:val="nextPage"/>
          <w:pgSz w:w="11906" w:h="16838" w:orient="portrait"/>
          <w:pgMar w:top="964" w:right="850" w:bottom="964" w:left="1134" w:header="708" w:footer="708"/>
          <w:cols w:num="1" w:sep="0" w:space="708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3"/>
        <w:gridCol w:w="4306"/>
        <w:gridCol w:w="5040"/>
      </w:tblGrid>
      <w:tr>
        <w:trPr/>
        <w:tc>
          <w:tcPr>
            <w:tcW w:w="64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 </w:t>
            </w:r>
            <w:r>
              <w:rPr>
                <w:color w:val="000000" w:themeColor="text1"/>
              </w:rPr>
              <w:t xml:space="preserve">п</w:t>
            </w:r>
            <w:r>
              <w:rPr>
                <w:color w:val="000000" w:themeColor="text1"/>
              </w:rPr>
              <w:t xml:space="preserve">/п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пункта пропуска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таможни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tcW w:w="9989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1"/>
            </w:pPr>
            <w:r>
              <w:rPr>
                <w:color w:val="000000" w:themeColor="text1"/>
              </w:rPr>
              <w:t xml:space="preserve">Воздушные пункты пропуска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Архангельск (</w:t>
            </w:r>
            <w:r>
              <w:rPr>
                <w:color w:val="000000" w:themeColor="text1"/>
              </w:rPr>
              <w:t xml:space="preserve">Талаги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Архангельская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Астрахань (</w:t>
            </w:r>
            <w:r>
              <w:rPr>
                <w:color w:val="000000" w:themeColor="text1"/>
              </w:rPr>
              <w:t xml:space="preserve">Нариманово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Астраханская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Волгоград (</w:t>
            </w:r>
            <w:r>
              <w:rPr>
                <w:color w:val="000000" w:themeColor="text1"/>
              </w:rPr>
              <w:t xml:space="preserve">Гумрак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Астраханская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Улан-Удэ (Мухино)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Бурятская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Уфа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Башкортостанская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Владивосток (</w:t>
            </w:r>
            <w:r>
              <w:rPr>
                <w:color w:val="000000" w:themeColor="text1"/>
              </w:rPr>
              <w:t xml:space="preserve">Кневичи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Владивостокская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Москва (Внуково)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Внуковская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Москва (Домодедово)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Домодедовская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Иркутск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Иркутская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 (Храброво)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Екатеринбург (Кольцово)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Кольцовская</w:t>
            </w:r>
            <w:r>
              <w:rPr>
                <w:color w:val="000000" w:themeColor="text1"/>
              </w:rPr>
              <w:t xml:space="preserve"> таможня имени В.А. Сорокина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Кемерово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Кемеровская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Красноярск (Емельяново)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Красноярская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Краснодар (Пашковский)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Краснодарская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Минеральные Воды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Минераловодская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Мурманск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Мурманская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Нижний Новгород (</w:t>
            </w:r>
            <w:r>
              <w:rPr>
                <w:color w:val="000000" w:themeColor="text1"/>
              </w:rPr>
              <w:t xml:space="preserve">Стригино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Нижегородская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Новосибирск (Толмачево)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Новосибирская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Пермь (Большое Савино)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Пермская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Санкт-Петербург (Пулково)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Пулковская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Ростов-на-Дону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Ростовская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Ростов-на-Дону (Платов)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Ростовская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Самара (</w:t>
            </w:r>
            <w:r>
              <w:rPr>
                <w:color w:val="000000" w:themeColor="text1"/>
              </w:rPr>
              <w:t xml:space="preserve">Курумоч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Самарская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Череповец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Санкт-Петербургская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Саранск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Саратовская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Казань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Татарстанская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Нижнекамск (</w:t>
            </w:r>
            <w:r>
              <w:rPr>
                <w:color w:val="000000" w:themeColor="text1"/>
              </w:rPr>
              <w:t xml:space="preserve">Бегишево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Татарстанская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Томск (Богашево)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Томская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Тюмень (Рощино)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Тюменская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Хабаровск (Новый)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Хабаровская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Нижневартовск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Ханты-Мансийская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Сургут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Ханты-Мансийская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Ханты-Мансийск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Ханты-Мансийская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Челябинск (</w:t>
            </w:r>
            <w:r>
              <w:rPr>
                <w:color w:val="000000" w:themeColor="text1"/>
              </w:rPr>
              <w:t xml:space="preserve">Баландино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Челябинская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Магнитогорск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Челябинская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Москва (Шереметьево)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Шереметьевская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tcW w:w="9989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1"/>
            </w:pPr>
            <w:r>
              <w:rPr>
                <w:color w:val="000000" w:themeColor="text1"/>
              </w:rPr>
              <w:t xml:space="preserve">Морские пункты пропуска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Большой порт Санкт-Петербург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Балтийская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Пассажирский порт Санкт-Петербург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Балтийская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Выборг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Выборгская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tcW w:w="9989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1"/>
            </w:pPr>
            <w:r>
              <w:rPr>
                <w:color w:val="000000" w:themeColor="text1"/>
              </w:rPr>
              <w:t xml:space="preserve">Автомобильные пункты пропуска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Погар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Брянская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Троебортное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Брянская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Новые Юрковичи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Брянская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Кяхта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Бурятская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Бугаевка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Воронежская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Новобелая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Воронежская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Брусничное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Выборгская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Светогорск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Выборгская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Торфяновка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Выборгская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Багратионовск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Гусев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Мамоново</w:t>
            </w:r>
            <w:r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Гжехотки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Мамоново</w:t>
            </w:r>
            <w:r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 xml:space="preserve">Гроново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Чернышевское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Калининградская областная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Вяртсиля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Карельская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Люття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Карельская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Ивангород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Кингисеппская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Борисоглебск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Мурманская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Лотта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Мурманская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Салла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Мурманская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62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Донецк (</w:t>
            </w:r>
            <w:r>
              <w:rPr>
                <w:color w:val="000000" w:themeColor="text1"/>
              </w:rPr>
              <w:t xml:space="preserve">Изварино</w:t>
            </w:r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Миллеровская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63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Убылинка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Псковская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64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Новошахтинск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Ростовская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65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Бурачки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Псковская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66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Адлер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67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Весело-Вознесенка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Таганрогская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68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Куйбышево (Мариновка)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Таганрогская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69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Матвеев Курган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Таганрогская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70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Верхний Ларс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Северо-Осетинская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gridSpan w:val="3"/>
            <w:tcW w:w="9989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  <w:outlineLvl w:val="1"/>
            </w:pPr>
            <w:r>
              <w:rPr>
                <w:color w:val="000000" w:themeColor="text1"/>
              </w:rPr>
              <w:t xml:space="preserve">Железнодорожный пункт пропуска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643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71</w:t>
            </w:r>
            <w:r>
              <w:rPr>
                <w:color w:val="000000" w:themeColor="text1"/>
              </w:rPr>
            </w:r>
          </w:p>
        </w:tc>
        <w:tc>
          <w:tcPr>
            <w:tcW w:w="4306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Адлер</w:t>
            </w:r>
            <w:r>
              <w:rPr>
                <w:color w:val="000000" w:themeColor="text1"/>
              </w:rPr>
            </w:r>
          </w:p>
        </w:tc>
        <w:tc>
          <w:tcPr>
            <w:tcW w:w="5040" w:type="dxa"/>
            <w:vAlign w:val="center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Сочинская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6838" w:h="11905" w:orient="landscape"/>
      <w:pgMar w:top="964" w:right="850" w:bottom="964" w:left="1134" w:header="0" w:foo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DF01082D7D355AF3006FFF45CE4CE710299A7B6B02B050B1FA9B5E50C3AB79C6731FE726D74EE1A55558BE78A55D6A3D7B323BB9A4CB4840l3rBM" TargetMode="External"/><Relationship Id="rId8" Type="http://schemas.openxmlformats.org/officeDocument/2006/relationships/hyperlink" Target="consultantplus://offline/ref=DF01082D7D355AF3006FFF45CE4CE710299D7A6904B050B1FA9B5E50C3AB79C6731FE726D74CE6A75E58BE78A55D6A3D7B323BB9A4CB4840l3rBM" TargetMode="External"/><Relationship Id="rId9" Type="http://schemas.openxmlformats.org/officeDocument/2006/relationships/hyperlink" Target="consultantplus://offline/ref=DF01082D7D355AF3006FFF45CE4CE7102B987B6803BF50B1FA9B5E50C3AB79C6611FBF2AD744FBA7544DE829E3l0r8M" TargetMode="External"/><Relationship Id="rId10" Type="http://schemas.openxmlformats.org/officeDocument/2006/relationships/hyperlink" Target="consultantplus://offline/ref=DF01082D7D355AF3006FFF45CE4CE7102B987B6B05B650B1FA9B5E50C3AB79C6611FBF2AD744FBA7544DE829E3l0r8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Грибков Владимир Леонидович</dc:creator>
  <cp:revision>3</cp:revision>
  <dcterms:created xsi:type="dcterms:W3CDTF">2020-12-08T12:43:00Z</dcterms:created>
  <dcterms:modified xsi:type="dcterms:W3CDTF">2020-12-10T09:46:34Z</dcterms:modified>
</cp:coreProperties>
</file>