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</w:r>
      <w:bookmarkStart w:id="0" w:name="_GoBack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Зарегистрировано в Минюсте России 25 января 2019 г. N 53579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21 ноября 2018 г. N 1896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ТЕХНОЛОГИИ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СОВЕРШЕНИЯ ТАМОЖЕННЫХ ОПЕРАЦИЙ В ОТНОШЕНИИ АВТОМОБИЛЬНЫХ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ТРАНСПОРТНЫХ СРЕДСТВ МЕЖДУНАРОДНОЙ ПЕРЕВОЗКИ И ПЕРЕМЕЩАЕМЫХ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ИМИ ТОВАРОВ ЧЕРЕЗ ТАМОЖЕННУЮ ГРАНИЦУ </w:t>
      </w:r>
      <w:r>
        <w:rPr>
          <w:color w:val="000000" w:themeColor="text1"/>
        </w:rPr>
        <w:t xml:space="preserve">ЕВРАЗИЙСКОГО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ЭКОНОМИЧЕСКОГО СОЮЗА С ИСПОЛЬЗОВАНИЕМ </w:t>
      </w:r>
      <w:r>
        <w:rPr>
          <w:color w:val="000000" w:themeColor="text1"/>
        </w:rPr>
        <w:t xml:space="preserve">ЕДИНОЙ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АВТОМАТИЗИРОВАННОЙ ИНФОРМАЦИОННОЙ СИСТЕМЫ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ОРГАНОВ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основании </w:t>
      </w:r>
      <w:hyperlink r:id="rId7" w:history="1">
        <w:r>
          <w:rPr>
            <w:color w:val="000000" w:themeColor="text1"/>
          </w:rPr>
          <w:t xml:space="preserve">части 3 статьи 83</w:t>
        </w:r>
      </w:hyperlink>
      <w:r>
        <w:rPr>
          <w:color w:val="000000" w:themeColor="text1"/>
        </w:rPr>
        <w:t xml:space="preserve"> Федеральног</w:t>
      </w:r>
      <w:r>
        <w:rPr>
          <w:color w:val="000000" w:themeColor="text1"/>
        </w:rPr>
        <w:t xml:space="preserve">о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7524), </w:t>
      </w:r>
      <w:hyperlink r:id="rId8" w:history="1">
        <w:r>
          <w:rPr>
            <w:color w:val="000000" w:themeColor="text1"/>
          </w:rPr>
          <w:t xml:space="preserve">пункта 1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 Российской Федерации от 16 сентября 2013</w:t>
      </w:r>
      <w:r>
        <w:rPr>
          <w:color w:val="000000" w:themeColor="text1"/>
        </w:rPr>
        <w:t xml:space="preserve"> г. N 809 (Собрание законодательства Российской Федерации, 2013, N 38, ст. 4823;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прилагаемую </w:t>
      </w:r>
      <w:hyperlink w:tooltip="Current Document" w:anchor="P36" w:history="1">
        <w:r>
          <w:rPr>
            <w:color w:val="000000" w:themeColor="text1"/>
          </w:rPr>
          <w:t xml:space="preserve">Технологию</w:t>
        </w:r>
      </w:hyperlink>
      <w:r>
        <w:rPr>
          <w:color w:val="000000" w:themeColor="text1"/>
        </w:rPr>
        <w:t xml:space="preserve"> совершения таможе</w:t>
      </w:r>
      <w:r>
        <w:rPr>
          <w:color w:val="000000" w:themeColor="text1"/>
        </w:rPr>
        <w:t xml:space="preserve">нных операций в отношении автомобильных транспортных средств международной перевозки и перемещаемых ими товаров через таможенную границу Евразийского экономического союза с использованием Единой автоматизированной информационной системы таможенных органов.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Центральному информационно-техническому таможенному управлению (Д.В. Терещенко), Главному управлению информационных технологий ФТС России (Г.В. </w:t>
      </w:r>
      <w:r>
        <w:rPr>
          <w:color w:val="000000" w:themeColor="text1"/>
        </w:rPr>
        <w:t xml:space="preserve">Песчанских</w:t>
      </w:r>
      <w:r>
        <w:rPr>
          <w:color w:val="000000" w:themeColor="text1"/>
        </w:rPr>
        <w:t xml:space="preserve">) до 1 февраля 2019 года обеспечить необходимую доработку инфор</w:t>
      </w:r>
      <w:r>
        <w:rPr>
          <w:color w:val="000000" w:themeColor="text1"/>
        </w:rPr>
        <w:t xml:space="preserve">мационно-программных средств, используемых таможенными органами при совершении таможенных операций в отношении автомобильных транспортных средств международной перевозки и перемещаемых ими товаров через таможенную границу Евразийского экономического союза.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первого заместителя руководителя ФТС России Р.В. Давыдова.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опубликования, но не ранее 1 февраля 2019 года.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21.11.2018 N 1896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6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ТЕХНОЛОГИЯ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СОВЕРШЕНИЯ ТАМОЖЕННЫХ ОПЕРАЦИЙ В ОТНОШЕНИИ АВТОМОБИЛЬНЫХ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ТРАНСПОРТНЫХ СРЕДСТВ МЕЖДУНАРОДНОЙ ПЕРЕВОЗКИ И ПЕРЕМЕЩАЕМЫХ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ИМИ ТОВАРОВ ЧЕРЕЗ ТАМОЖЕННУЮ ГРАНИЦУ </w:t>
      </w:r>
      <w:r>
        <w:rPr>
          <w:color w:val="000000" w:themeColor="text1"/>
        </w:rPr>
        <w:t xml:space="preserve">ЕВРАЗИЙСКОГО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ЭКОНОМИЧЕСКОГО СОЮЗА С ИСПОЛЬЗОВАНИЕМ </w:t>
      </w:r>
      <w:r>
        <w:rPr>
          <w:color w:val="000000" w:themeColor="text1"/>
        </w:rPr>
        <w:t xml:space="preserve">ЕДИНОЙ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АВТОМАТИЗИРОВАННОЙ ИНФОРМАЦИОННОЙ СИСТЕМЫ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ОРГАНОВ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Настоящая Технология определяет совокупность и последовательность сов</w:t>
      </w:r>
      <w:r>
        <w:rPr>
          <w:color w:val="000000" w:themeColor="text1"/>
        </w:rPr>
        <w:t xml:space="preserve">ершения таможенным органом действий в отношении автомобильных транспортных средств международной перевозки (далее - автомобильное транспортное средство) и перемещаемых ими товаров через таможенную границу Евразийского экономического союза (далее - ЕАЭС) с </w:t>
      </w:r>
      <w:r>
        <w:rPr>
          <w:color w:val="000000" w:themeColor="text1"/>
        </w:rPr>
        <w:t xml:space="preserve">использованием Единой автоматизированной информационной системы (далее - ЕАИС) таможенных органов, связанных с представлением перевозчиком, таможенным представителем либо иными лицами, действующие по поручению перевозчика (далее - перевозчик), документов и</w:t>
      </w:r>
      <w:r>
        <w:rPr>
          <w:color w:val="000000" w:themeColor="text1"/>
        </w:rPr>
        <w:t xml:space="preserve"> сведений в электронном виде.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Документы и сведения представляются перевозчиком в соответствии со спецификацией интерфейса</w:t>
      </w:r>
      <w:r>
        <w:rPr>
          <w:color w:val="000000" w:themeColor="text1"/>
        </w:rPr>
        <w:t xml:space="preserve"> взаимодействия между информационными системами таможенных органов и информационными системами, предназначенными для представления участниками внешнеэкономической деятельности сведений таможенным органам в электронной форме, разработанной в соответствии с </w:t>
      </w:r>
      <w:hyperlink r:id="rId9" w:history="1">
        <w:r>
          <w:rPr>
            <w:color w:val="000000" w:themeColor="text1"/>
          </w:rPr>
          <w:t xml:space="preserve">порядком</w:t>
        </w:r>
      </w:hyperlink>
      <w:r>
        <w:rPr>
          <w:color w:val="000000" w:themeColor="text1"/>
        </w:rPr>
        <w:t xml:space="preserve">, утвержденным приказом ФТС России от 24 января 2008 г. N 52 "О внедрении информационной Технологии представления таможенным органам сведений в электронной форме для целей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таможенного оформления товаров, в том числе с использованием международной ассоциации сете</w:t>
      </w:r>
      <w:r>
        <w:rPr>
          <w:color w:val="000000" w:themeColor="text1"/>
        </w:rPr>
        <w:t xml:space="preserve">й "Интернет" (зарегистрирован Минюстом России 21 февраля 2008 г., регистрационный N 11201) (далее - приказ ФТС России от 24 января 2008 г. N 52) с применением усиленной квалифицированной электронной подписи (далее - ЭП) в порядке, определенном Федеральным </w:t>
      </w:r>
      <w:hyperlink r:id="rId10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от 6 апреля 2011 г. N 63-ФЗ "Об электронной подписи" (Собрание законодательства Российской Федерации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2011, N 15, ст. 2036; 2016, N 26, ст. 3889).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Совершение таможенных операций в отношении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автомобильных транспортных средств и перемещаемых ими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товаров до прибытия на таможенную территорию ЕАЭС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 использованием ЕАИС таможенных органов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Предварительная инфор</w:t>
      </w:r>
      <w:r>
        <w:rPr>
          <w:color w:val="000000" w:themeColor="text1"/>
        </w:rPr>
        <w:t xml:space="preserve">мация, представленная перевозчиком в ЕАИС таможенных органов, в автоматическом режиме проходит проверку на соответствие структуре и форматам, определенным альбомом форматов электронных форм документов, предназначенных для организации взаимодействия между и</w:t>
      </w:r>
      <w:r>
        <w:rPr>
          <w:color w:val="000000" w:themeColor="text1"/>
        </w:rPr>
        <w:t xml:space="preserve">нформационными системами таможенных органов и информационными системами, предназначенными для представления участниками внешнеэкономической деятельности сведений таможенным органам в электронной форме, разработанным в соответствии с порядком, утвержденным </w:t>
      </w:r>
      <w:hyperlink r:id="rId1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 января</w:t>
      </w:r>
      <w:r>
        <w:rPr>
          <w:color w:val="000000" w:themeColor="text1"/>
        </w:rPr>
        <w:t xml:space="preserve"> 2008 г. N 52.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В случае выявления несоответствия содержащихся в предварительной информации элек</w:t>
      </w:r>
      <w:r>
        <w:rPr>
          <w:color w:val="000000" w:themeColor="text1"/>
        </w:rPr>
        <w:t xml:space="preserve">тронных сведений установленным структуре и формату данных перевозчику из ЕАИС таможенных органов автоматически направляется электронное сообщение, содержащее перечень выявленных ошибок, для их устранения и повторного направления предварительной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При отсутствии ошибок в представленной предварительной информации перевозчику </w:t>
      </w:r>
      <w:r>
        <w:rPr>
          <w:color w:val="000000" w:themeColor="text1"/>
        </w:rPr>
        <w:t xml:space="preserve">направляется автоматическое электронное сообщение, содержащее информацию о принятии предварительной информации и регистрационный номер предварительной информации (далее - регистрационный номер ПИ).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Представленная перевозчик</w:t>
      </w:r>
      <w:r>
        <w:rPr>
          <w:color w:val="000000" w:themeColor="text1"/>
        </w:rPr>
        <w:t xml:space="preserve">ом предварительная информация в автоматическом режиме направляется в комплекс программных средств "Автоматизированная система таможенного оформления и таможенного контроля пограничных пунктов пропуска" (далее - АС "ПП") таможенного органа в месте прибытия.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58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6. При получении предварительной информации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АС</w:t>
      </w:r>
      <w:r>
        <w:rPr>
          <w:color w:val="000000" w:themeColor="text1"/>
        </w:rPr>
        <w:t xml:space="preserve"> "ПП" должностное лицо таможенного органа осуществляет проверку представленной информации, в том числе с применением системы управления рисками, и принимает с использованием АС "ПП" одно из следующих предварительных решений: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"Ввоз разрешен";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"Ввоз запрещен в связи 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__" (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указанием причины запрета ввоза);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"Необходимо применение форм таможенного контроля".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</w:t>
      </w:r>
      <w:r>
        <w:rPr>
          <w:color w:val="000000" w:themeColor="text1"/>
        </w:rPr>
        <w:t xml:space="preserve">В случае наличия в предварительной информации сведений по</w:t>
      </w:r>
      <w:r>
        <w:rPr>
          <w:color w:val="000000" w:themeColor="text1"/>
        </w:rPr>
        <w:t xml:space="preserve"> товарам, в отношении которых установлены запреты и ограничения, решения, указанные в пункте 6 настоящей Технологии, принимаются с учетом информации, полученной от федеральных органов исполнительной власти, в рамках информационного взаимодействия согласно </w:t>
      </w:r>
      <w:hyperlink r:id="rId12" w:history="1">
        <w:r>
          <w:rPr>
            <w:color w:val="000000" w:themeColor="text1"/>
          </w:rPr>
          <w:t xml:space="preserve">статье 318</w:t>
        </w:r>
      </w:hyperlink>
      <w:r>
        <w:rPr>
          <w:color w:val="000000" w:themeColor="text1"/>
        </w:rPr>
        <w:t xml:space="preserve"> Таможенного кодекса Евразийского экономического союза (Федеральный </w:t>
      </w:r>
      <w:hyperlink r:id="rId13" w:history="1">
        <w:r>
          <w:rPr>
            <w:color w:val="000000" w:themeColor="text1"/>
          </w:rPr>
          <w:t xml:space="preserve">закон</w:t>
        </w:r>
      </w:hyperlink>
      <w:r>
        <w:rPr>
          <w:color w:val="000000" w:themeColor="text1"/>
        </w:rPr>
        <w:t xml:space="preserve"> от 14 ноября 2017 г. N 317-ФЗ "О ратификации Договора о Таможенном кодексе</w:t>
      </w:r>
      <w:r>
        <w:rPr>
          <w:color w:val="000000" w:themeColor="text1"/>
        </w:rPr>
        <w:t xml:space="preserve"> Евразийского экономического союза" (Собрание законодательства Российской Федерации, 2017, N 47, ст. 6843) (далее - Кодекс Союза).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</w:t>
      </w:r>
      <w:r>
        <w:rPr>
          <w:color w:val="000000" w:themeColor="text1"/>
        </w:rPr>
        <w:t xml:space="preserve">В случае наличия в представленной предварительной информации сведений, подлежащих указанию</w:t>
      </w:r>
      <w:r>
        <w:rPr>
          <w:color w:val="000000" w:themeColor="text1"/>
        </w:rPr>
        <w:t xml:space="preserve"> в декларации на транспортное средство международной перевозки, должностное лицо таможенного органа проводит ее проверку и с использованием АС "ПП" принимает одно из следующих решений в отношении транспортных средств международной перевозки (далее - ТСМП):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"Временный ввоз ТСМП разрешен";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"Временный ввоз ТСМП запрещен в связи 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_____" (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указанием причины запрета).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Совершение таможенных операций при прибытии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автомобильных транспортных средств и перемещаемых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ими товаров на таможенную территорию ЕАЭС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 использованием ЕАИС таможенных органов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</w:t>
      </w:r>
      <w:r>
        <w:rPr>
          <w:color w:val="000000" w:themeColor="text1"/>
        </w:rPr>
        <w:t xml:space="preserve">В соответствии с </w:t>
      </w:r>
      <w:hyperlink r:id="rId14" w:history="1">
        <w:r>
          <w:rPr>
            <w:color w:val="000000" w:themeColor="text1"/>
          </w:rPr>
          <w:t xml:space="preserve">частью 8 статьи 85</w:t>
        </w:r>
      </w:hyperlink>
      <w:r>
        <w:rPr>
          <w:color w:val="000000" w:themeColor="text1"/>
        </w:rPr>
        <w:t xml:space="preserve"> Федерального закона от 3 августа 2018 г. N 289-ФЗ "О таможенном регулировании в Российской Федерации и о внесении изменений в </w:t>
      </w:r>
      <w:r>
        <w:rPr>
          <w:color w:val="000000" w:themeColor="text1"/>
        </w:rPr>
        <w:t xml:space="preserve">отдельные законодательные акты Российской Федерации" (Собрание законодательства Российской Федерации, 2018, N 32, ст. 5082, N 49, ст. 7524) представленному перевозчиком уведомлению о прибытии товаров автоматически в течение 10 минут с использованием АС "ПП</w:t>
      </w:r>
      <w:r>
        <w:rPr>
          <w:color w:val="000000" w:themeColor="text1"/>
        </w:rPr>
        <w:t xml:space="preserve">" присваивается номер в </w:t>
      </w:r>
      <w:hyperlink w:tooltip="Current Document" w:anchor="P141" w:history="1">
        <w:r>
          <w:rPr>
            <w:color w:val="000000" w:themeColor="text1"/>
          </w:rPr>
          <w:t xml:space="preserve">журнале</w:t>
        </w:r>
      </w:hyperlink>
      <w:r>
        <w:rPr>
          <w:color w:val="000000" w:themeColor="text1"/>
        </w:rPr>
        <w:t xml:space="preserve"> регистрации уведомлений о прибытии товаров (приложение к настоящей Технологии).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Порядковый номер уведомления о прибытии формируется следующим образом: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XXXXXXXX/XXXXXX/XXXXXXX, где: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1       2      3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1 - код таможенного поста или его структурного подразделения, совершающего таможенные операции и проводящего таможенный контроль автомобильных транспортных средств и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2 - день, месяц и последние две цифры текущего года;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3 - порядковый номер уведомления о прибытии.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После присвоения уведомлению о прибытии товаров регистрационного номера применяется система управления рисками.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При получении от перевозчика регистрационного номера ПИ таможенный орган с учетом результатов применения системы управления рисками информирует перевозчика посредством АС "ПП" об окончательном решении, предусмотренном </w:t>
      </w:r>
      <w:hyperlink w:tooltip="Current Document" w:anchor="P58" w:history="1">
        <w:r>
          <w:rPr>
            <w:color w:val="000000" w:themeColor="text1"/>
          </w:rPr>
          <w:t xml:space="preserve">пунктом 6</w:t>
        </w:r>
      </w:hyperlink>
      <w:r>
        <w:rPr>
          <w:color w:val="000000" w:themeColor="text1"/>
        </w:rPr>
        <w:t xml:space="preserve"> настоящей Технологии.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АС "ПП" автоматически присваивает уведомлению о прибытии товаров статус "Прибытие товаров завершено". Информация о регистрационном номере уведомления о прибытии направляется перевозчику с использованием ЕАИС таможенных органов.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В случае указания в предварительной информации сведений о регистрационном номере предваритель</w:t>
      </w:r>
      <w:r>
        <w:rPr>
          <w:color w:val="000000" w:themeColor="text1"/>
        </w:rPr>
        <w:t xml:space="preserve">ной таможенной декларации (далее - ПТД) ЕАИС таможенных органов обеспечивает автоматическое направление с использованием АС "ПП" сообщения о факте регистрации уведомления о прибытии таможенному органу, осуществившему регистрацию ПТД, и лицу, подавшему ПТД.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В случае использования </w:t>
      </w:r>
      <w:r>
        <w:rPr>
          <w:color w:val="000000" w:themeColor="text1"/>
        </w:rPr>
        <w:t xml:space="preserve">предварительной информации в качестве декларации на транспортное средство (далее - ДТС) регистрационный номер ДТС присваивается посредством ЕАИС таможенных органов, где дополнительно указывается срок временного ввоза ТСМП, установленный таможенным органом.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Факт регистрации ДТС, а также установленный срок временного ввоза ТСМП направляется перевозчику посредством ЕАИС таможенных органов в автоматическом режиме.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В случаях заявления таможенной процедуры таможенно</w:t>
      </w:r>
      <w:r>
        <w:rPr>
          <w:color w:val="000000" w:themeColor="text1"/>
        </w:rPr>
        <w:t xml:space="preserve">го транзита в отношении иностранных товаров, перевозимых автомобильными транспортными средствами, и использования в качестве транзитной декларации предварительной информации, представленной в виде электронного документа, в объеме сведений, предусмотренных </w:t>
      </w:r>
      <w:hyperlink r:id="rId15" w:history="1">
        <w:r>
          <w:rPr>
            <w:color w:val="000000" w:themeColor="text1"/>
          </w:rPr>
          <w:t xml:space="preserve">статьей 107</w:t>
        </w:r>
      </w:hyperlink>
      <w:r>
        <w:rPr>
          <w:color w:val="000000" w:themeColor="text1"/>
        </w:rPr>
        <w:t xml:space="preserve"> Кодекса Союза, ЕАИС таможенных органов автоматически на основании регистрационного номера ПИ формирует электронную транзитную декларацию.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случаях представления перевозчиком транзитной декларации в электронном виде ЕАИС таможенных органов на основании сведений, заявленных в транзитной декларации, формирует сообщение о прибытии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АС "ПП".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IV. Совершение таможенных операций при убытии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автомобильных транспортных средств и перемещаемых ими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товаров с таможенной территории ЕАЭС с использованием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ЕАИС таможенных органов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95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15. При осуществлении таможе</w:t>
      </w:r>
      <w:r>
        <w:rPr>
          <w:color w:val="000000" w:themeColor="text1"/>
        </w:rPr>
        <w:t xml:space="preserve">нных операций, связанных с убытием автомобильных транспортных средств и перемещаемых ими товаров с таможенной территории ЕАЭС, перевозчиком посредством ЕАИС таможенных органов направляется электронный пакет документов, содержащих сведения, предусмотренные </w:t>
      </w:r>
      <w:hyperlink r:id="rId16" w:history="1">
        <w:r>
          <w:rPr>
            <w:color w:val="000000" w:themeColor="text1"/>
          </w:rPr>
          <w:t xml:space="preserve">пунктами 1</w:t>
        </w:r>
      </w:hyperlink>
      <w:r>
        <w:rPr>
          <w:color w:val="000000" w:themeColor="text1"/>
        </w:rPr>
        <w:t xml:space="preserve"> и </w:t>
      </w:r>
      <w:hyperlink r:id="rId17" w:history="1">
        <w:r>
          <w:rPr>
            <w:color w:val="000000" w:themeColor="text1"/>
          </w:rPr>
          <w:t xml:space="preserve">2 статьи 92</w:t>
        </w:r>
      </w:hyperlink>
      <w:r>
        <w:rPr>
          <w:color w:val="000000" w:themeColor="text1"/>
        </w:rPr>
        <w:t xml:space="preserve"> Кодекса Союза.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При поступлении в таможенный орган от перевозчика комплекта документов на </w:t>
      </w:r>
      <w:r>
        <w:rPr>
          <w:color w:val="000000" w:themeColor="text1"/>
        </w:rPr>
        <w:t xml:space="preserve">вывозимый товар, представленного в соответствии с </w:t>
      </w:r>
      <w:hyperlink w:tooltip="Current Document" w:anchor="P95" w:history="1">
        <w:r>
          <w:rPr>
            <w:color w:val="000000" w:themeColor="text1"/>
          </w:rPr>
          <w:t xml:space="preserve">пунктом 15</w:t>
        </w:r>
      </w:hyperlink>
      <w:r>
        <w:rPr>
          <w:color w:val="000000" w:themeColor="text1"/>
        </w:rPr>
        <w:t xml:space="preserve"> настоящей Технологии, сообщение об убытии автоматически регистрируется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АС "ПП".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Порядковый номер сообщения об убытии формируется следующим образом: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XXXXXXXX/XXXXXX/XXXXXXX, где: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1       2      3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1 - код таможенного поста или его структурного подразделения, совершающего таможенные операции и проводящего таможенный контроль судов и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2 - день, месяц и последние две цифры текущего года;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3 - порядковый номер сообщения об убытии.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17. Должностное лицо таможенного органа с использованием автоматизированной подсистемы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вывозом товаров с территории Российской Федерации (далее - АПС "СКВВ") осуществляет контроль соответствия сведений о предъявляемых к убытию товарах и их количестве в основных и дополнительных единицах измерения сведениям, содержащимся в </w:t>
      </w:r>
      <w:hyperlink r:id="rId18" w:history="1">
        <w:r>
          <w:rPr>
            <w:color w:val="000000" w:themeColor="text1"/>
          </w:rPr>
          <w:t xml:space="preserve">декларации</w:t>
        </w:r>
      </w:hyperlink>
      <w:r>
        <w:rPr>
          <w:color w:val="000000" w:themeColor="text1"/>
        </w:rPr>
        <w:t xml:space="preserve"> на товары, с учетом вывезенных на текущий момент.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18. По результатам проверки представленных в электронном ви</w:t>
      </w:r>
      <w:r>
        <w:rPr>
          <w:color w:val="000000" w:themeColor="text1"/>
        </w:rPr>
        <w:t xml:space="preserve">де документов и сведений должностное лицо таможенного органа с учетом права ЕАЭС и законодательства Российской Федерации о таможенном регулировании, а также используя систему управления рисками, принимает с использованием АС "ПП" одно из следующих решений: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"Вывоз разрешен";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"Вывоз запрещен в связи 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____" (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  <w:t xml:space="preserve"> указанием причин запрета вывоза);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"Необходимо применение форм таможенного контроля".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19. Должностное лицо таможенного органа осуществляет контроль за вывозимыми товарами и транспортными средствами, в том числе путем внесения </w:t>
      </w:r>
      <w:r>
        <w:rPr>
          <w:color w:val="000000" w:themeColor="text1"/>
        </w:rPr>
        <w:t xml:space="preserve">сведений</w:t>
      </w:r>
      <w:r>
        <w:rPr>
          <w:color w:val="000000" w:themeColor="text1"/>
        </w:rPr>
        <w:t xml:space="preserve"> об объемах фактически вывезенных товаров, и закрывает с использованием АС "ПП" сообщение об убытии.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 При представлении ДТС должностное лицо таможенного органа проводит ее проверку и с использованием АС "ПП" регистрирует ДТС.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Электронному документу, используемому в качестве ДТС, автоматически присваивается регистрационный номер и перевозчику посредством ЕАИС таможенных органов направляется электронное сообщение о регистрационном номере ДТС.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Подача ДТС в виде электронного документа не сопровождается представлением таможенному органу документов, подтверждающих сведения, заявленные в ДТС.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Информация о завершении временного ввоза или временного вывоза ТСМП становится доступной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АС</w:t>
      </w:r>
      <w:r>
        <w:rPr>
          <w:color w:val="000000" w:themeColor="text1"/>
        </w:rPr>
        <w:t xml:space="preserve"> "ПП" таможенному органу, в том числе таможенному органу, оформившему временный ввоз или временный вывоз ТСМП.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V. Заключительные положения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21. В случае возникновения нештатной ситуации</w:t>
      </w:r>
      <w:r>
        <w:rPr>
          <w:color w:val="000000" w:themeColor="text1"/>
        </w:rPr>
        <w:t xml:space="preserve"> в работе ЕАИС таможенных органов должностное лицо таможенного органа осуществляет в ЕАИС таможенных органов регистрацию прибывающих и убывающих товаров, а также автомобильных транспортных средств международной перевозки после окончания нештатной ситуации.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22. Завершение временного ввоза/вывоза ТСМП осуществляется таможенным органом посредством ЕАИС таможенных органов.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Сообщение о завершении временного ввоза/вывоза ТСМП посредством ЕАИС таможенных органов автоматически направляется в таможенный орган, в регионе деятельности которого осуществляется контроль временного ввоза/вывоза ТСМП.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23. В случае получения заявления о продлении временного ввоза/вывоза ТСМП в электронном виде продление временного ввоза/вывоза ТСМП осуществляется таможенным органом посредством ЕАИС таможенных органов.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сроков временного ввоза/вывоза ТСМП осуществляется ЕАИС таможенных органов в автоматическом режиме.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 В случае невозможности представления в таможенный орган электронного пакета документов таможенные операции осуществляются в ЕАИС таможенных органов с использованием сведений, представленных на бумажных носителях.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Технологии совершения </w:t>
      </w:r>
      <w:r>
        <w:rPr>
          <w:color w:val="000000" w:themeColor="text1"/>
        </w:rPr>
        <w:t xml:space="preserve">таможенных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операций в отношении автомобильных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транспортных средств </w:t>
      </w:r>
      <w:r>
        <w:rPr>
          <w:color w:val="000000" w:themeColor="text1"/>
        </w:rPr>
        <w:t xml:space="preserve">международной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перевозки и перемещаемых ими товаров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через таможенную территорию </w:t>
      </w:r>
      <w:r>
        <w:rPr>
          <w:color w:val="000000" w:themeColor="text1"/>
        </w:rPr>
        <w:t xml:space="preserve">Евразийского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экономического союза с использованием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Единой автоматизированной информационной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системы таможенных органов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Рекомендуемый образец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141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Журнал регистрации уведомлений о прибытии товаров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6" w:h="16838" w:orient="portrait"/>
          <w:pgMar w:top="964" w:right="850" w:bottom="964" w:left="1134" w:header="708" w:footer="708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40"/>
        <w:gridCol w:w="1191"/>
        <w:gridCol w:w="1134"/>
        <w:gridCol w:w="1304"/>
        <w:gridCol w:w="1474"/>
        <w:gridCol w:w="1077"/>
        <w:gridCol w:w="1191"/>
        <w:gridCol w:w="1417"/>
        <w:gridCol w:w="1474"/>
        <w:gridCol w:w="1247"/>
        <w:gridCol w:w="1304"/>
        <w:gridCol w:w="1373"/>
      </w:tblGrid>
      <w:tr>
        <w:trPr/>
        <w:tc>
          <w:tcPr>
            <w:tcW w:w="54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r>
              <w:rPr>
                <w:color w:val="000000" w:themeColor="text1"/>
              </w:rPr>
              <w:t xml:space="preserve">п</w:t>
            </w:r>
            <w:r>
              <w:rPr>
                <w:color w:val="000000" w:themeColor="text1"/>
              </w:rPr>
              <w:t xml:space="preserve">/п</w:t>
            </w:r>
            <w:r>
              <w:rPr>
                <w:color w:val="000000" w:themeColor="text1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уведомления о прибытии товаров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Время регистрации уведомления о прибытии товаров</w:t>
            </w:r>
            <w:r>
              <w:rPr>
                <w:color w:val="000000" w:themeColor="text1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Регистрационный номер транспортного средства (прицепа)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Код, наименование страны регистрации транспортного средства</w:t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перевозчика</w:t>
            </w:r>
            <w:r>
              <w:rPr>
                <w:color w:val="000000" w:themeColor="text1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Краткое наименование товаров</w:t>
            </w:r>
            <w:r>
              <w:rPr>
                <w:color w:val="000000" w:themeColor="text1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Коды товаров по </w:t>
            </w:r>
            <w:hyperlink r:id="rId19" w:history="1">
              <w:r>
                <w:rPr>
                  <w:color w:val="000000" w:themeColor="text1"/>
                </w:rPr>
                <w:t xml:space="preserve">ТН ВЭД ЕАЭС</w:t>
              </w:r>
            </w:hyperlink>
            <w:r>
              <w:rPr>
                <w:color w:val="000000" w:themeColor="text1"/>
              </w:rPr>
              <w:t xml:space="preserve"> на уровне не менее 6 знаков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Общий вес брутто (</w:t>
            </w:r>
            <w:r>
              <w:rPr>
                <w:color w:val="000000" w:themeColor="text1"/>
              </w:rPr>
              <w:t xml:space="preserve">кг</w:t>
            </w:r>
            <w:r>
              <w:rPr>
                <w:color w:val="000000" w:themeColor="text1"/>
              </w:rPr>
              <w:t xml:space="preserve">)/нетто (кг) (при наличии), объем в дополнительных единицах измерения по накладной</w:t>
            </w:r>
            <w:r>
              <w:rPr>
                <w:color w:val="000000" w:themeColor="text1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и дата акта таможенного осмотра/досмотра, акт взятия проб и образцов (при наличии)</w:t>
            </w:r>
            <w:r>
              <w:rPr>
                <w:color w:val="000000" w:themeColor="text1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Принятое решение</w:t>
            </w:r>
            <w:r>
              <w:rPr>
                <w:color w:val="000000" w:themeColor="text1"/>
              </w:rPr>
            </w:r>
          </w:p>
        </w:tc>
        <w:tc>
          <w:tcPr>
            <w:tcW w:w="137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Примечание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54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107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1191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130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tcW w:w="137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6838" w:h="11905" w:orient="landscape"/>
      <w:pgMar w:top="1701" w:right="1134" w:bottom="850" w:left="1134" w:header="0" w:foo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26AD22CA814F3A99E68A5E3CDDED6A63907BF471D6278AF87C7FCC9132F6AFE82333EBE01F8FC2132FBBC3E086B9F3DDCCB840C6BF98B8B2A2tDM" TargetMode="External"/><Relationship Id="rId8" Type="http://schemas.openxmlformats.org/officeDocument/2006/relationships/hyperlink" Target="consultantplus://offline/ref=26AD22CA814F3A99E68A5E3CDDED6A63907CF573D0278AF87C7FCC9132F6AFE82333EBE01F8EC41321BBC3E086B9F3DDCCB840C6BF98B8B2A2tDM" TargetMode="External"/><Relationship Id="rId9" Type="http://schemas.openxmlformats.org/officeDocument/2006/relationships/hyperlink" Target="consultantplus://offline/ref=26AD22CA814F3A99E68A5E3CDDED6A63947BF171DD2AD7F27426C09335F9F0FF247AE7E11F8EC51522E4C6F597E1FED5DAA743DAA39ABAABt0M" TargetMode="External"/><Relationship Id="rId10" Type="http://schemas.openxmlformats.org/officeDocument/2006/relationships/hyperlink" Target="consultantplus://offline/ref=26AD22CA814F3A99E68A5E3CDDED6A63907AF171D4298AF87C7FCC9132F6AFE83133B3EC1F86D9132BAE95B1C0AEtCM" TargetMode="External"/><Relationship Id="rId11" Type="http://schemas.openxmlformats.org/officeDocument/2006/relationships/hyperlink" Target="consultantplus://offline/ref=26AD22CA814F3A99E68A5E3CDDED6A63947BF171DD2AD7F27426C09335F9F0ED2422EBE11790C61037B297B3ACt2M" TargetMode="External"/><Relationship Id="rId12" Type="http://schemas.openxmlformats.org/officeDocument/2006/relationships/hyperlink" Target="consultantplus://offline/ref=26AD22CA814F3A99E68A5E3CDDED6A63917FF673D5248AF87C7FCC9132F6AFE82333EBE01F8AC1102BBBC3E086B9F3DDCCB840C6BF98B8B2A2tDM" TargetMode="External"/><Relationship Id="rId13" Type="http://schemas.openxmlformats.org/officeDocument/2006/relationships/hyperlink" Target="consultantplus://offline/ref=26AD22CA814F3A99E68A5E3CDDED6A639176F176D5268AF87C7FCC9132F6AFE83133B3EC1F86D9132BAE95B1C0AEtCM" TargetMode="External"/><Relationship Id="rId14" Type="http://schemas.openxmlformats.org/officeDocument/2006/relationships/hyperlink" Target="consultantplus://offline/ref=26AD22CA814F3A99E68A5E3CDDED6A63907BF471D6278AF87C7FCC9132F6AFE82333EBE01F8FC2112ABBC3E086B9F3DDCCB840C6BF98B8B2A2tDM" TargetMode="External"/><Relationship Id="rId15" Type="http://schemas.openxmlformats.org/officeDocument/2006/relationships/hyperlink" Target="consultantplus://offline/ref=26AD22CA814F3A99E68A5E3CDDED6A63917FF673D5248AF87C7FCC9132F6AFE82333EBE01F8FC3142EBBC3E086B9F3DDCCB840C6BF98B8B2A2tDM" TargetMode="External"/><Relationship Id="rId16" Type="http://schemas.openxmlformats.org/officeDocument/2006/relationships/hyperlink" Target="consultantplus://offline/ref=26AD22CA814F3A99E68A5E3CDDED6A63917FF673D5248AF87C7FCC9132F6AFE82333EBE01F8FC5112ABBC3E086B9F3DDCCB840C6BF98B8B2A2tDM" TargetMode="External"/><Relationship Id="rId17" Type="http://schemas.openxmlformats.org/officeDocument/2006/relationships/hyperlink" Target="consultantplus://offline/ref=26AD22CA814F3A99E68A5E3CDDED6A63917FF673D5248AF87C7FCC9132F6AFE82333EBE01F8FC5112DBBC3E086B9F3DDCCB840C6BF98B8B2A2tDM" TargetMode="External"/><Relationship Id="rId18" Type="http://schemas.openxmlformats.org/officeDocument/2006/relationships/hyperlink" Target="consultantplus://offline/ref=26AD22CA814F3A99E68A5E3CDDED6A63907DF377DC278AF87C7FCC9132F6AFE82333EBE01F8EC11A2BBBC3E086B9F3DDCCB840C6BF98B8B2A2tDM" TargetMode="External"/><Relationship Id="rId19" Type="http://schemas.openxmlformats.org/officeDocument/2006/relationships/hyperlink" Target="consultantplus://offline/ref=26AD22CA814F3A99E68A5E3CDDED6A63907BF077DD268AF87C7FCC9132F6AFE82333EBE21787C51322E4C6F597E1FED5DAA743DAA39ABAABt0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 Владимир Леонидович</dc:creator>
  <cp:revision>2</cp:revision>
  <dcterms:created xsi:type="dcterms:W3CDTF">2020-12-08T12:44:00Z</dcterms:created>
  <dcterms:modified xsi:type="dcterms:W3CDTF">2020-12-10T09:47:17Z</dcterms:modified>
</cp:coreProperties>
</file>